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4"/>
        </w:rPr>
      </w:pPr>
      <w:bookmarkStart w:id="0" w:name="_Toc245544190"/>
      <w:bookmarkStart w:id="1" w:name="_Toc245543146"/>
      <w:bookmarkStart w:id="2" w:name="_Toc245543660"/>
      <w:r>
        <w:rPr>
          <w:rFonts w:hint="eastAsia" w:ascii="黑体" w:hAnsi="黑体" w:eastAsia="黑体"/>
          <w:sz w:val="24"/>
        </w:rPr>
        <w:t>附件4：</w:t>
      </w:r>
    </w:p>
    <w:bookmarkEnd w:id="0"/>
    <w:bookmarkEnd w:id="1"/>
    <w:bookmarkEnd w:id="2"/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近两年（自</w:t>
      </w:r>
      <w:r>
        <w:rPr>
          <w:rFonts w:ascii="黑体" w:hAnsi="黑体" w:eastAsia="黑体" w:cs="黑体"/>
          <w:bCs/>
          <w:sz w:val="32"/>
          <w:szCs w:val="32"/>
        </w:rPr>
        <w:t>2020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ascii="黑体" w:hAnsi="黑体" w:eastAsia="黑体" w:cs="黑体"/>
          <w:bCs/>
          <w:sz w:val="32"/>
          <w:szCs w:val="32"/>
        </w:rPr>
        <w:t>7</w:t>
      </w:r>
      <w:r>
        <w:rPr>
          <w:rFonts w:hint="eastAsia" w:ascii="黑体" w:hAnsi="黑体" w:eastAsia="黑体" w:cs="黑体"/>
          <w:bCs/>
          <w:sz w:val="32"/>
          <w:szCs w:val="32"/>
        </w:rPr>
        <w:t>月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日起）完成的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中央企业（含所属子公司）投资并购财务尽调项目情况表</w:t>
      </w:r>
    </w:p>
    <w:p>
      <w:pPr>
        <w:spacing w:line="560" w:lineRule="exact"/>
        <w:rPr>
          <w:rFonts w:eastAsia="黑体"/>
          <w:b/>
          <w:sz w:val="32"/>
        </w:rPr>
      </w:pPr>
    </w:p>
    <w:p>
      <w:pPr>
        <w:spacing w:line="560" w:lineRule="exact"/>
        <w:rPr>
          <w:rFonts w:ascii="黑体" w:hAnsi="黑体" w:eastAsia="黑体"/>
          <w:bCs/>
          <w:sz w:val="24"/>
          <w:u w:val="single"/>
        </w:rPr>
      </w:pPr>
      <w:r>
        <w:rPr>
          <w:rFonts w:hint="eastAsia" w:ascii="黑体" w:hAnsi="黑体" w:eastAsia="黑体"/>
          <w:bCs/>
          <w:sz w:val="24"/>
        </w:rPr>
        <w:t>单位名称（公章）：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170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财务尽调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委托方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资产总额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签字注册会计师</w:t>
            </w: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财务尽调报告出具时间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560" w:lineRule="exact"/>
        <w:rPr>
          <w:rFonts w:ascii="黑体" w:hAnsi="黑体" w:eastAsia="黑体" w:cs="Times New Roman"/>
          <w:bCs/>
          <w:sz w:val="32"/>
          <w:szCs w:val="30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8787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2022-07-19T06:41:26Z</dcterms:created>
  <dc:creator>maxingyan</dc:creator>
  <cp:lastModifiedBy>maxingyan</cp:lastModifiedBy>
  <dcterms:modified xsi:type="dcterms:W3CDTF">2022-07-19T06:41:48Z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85BE8A64C72A4866855F741D5D86C599</vt:lpwstr>
  </property>
</Properties>
</file>